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создании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рабочей группы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уходе, в Еврейской автономной области</w:t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межведомственную рабочую группу по созданию системы долговременного ухода за гражданами пожилого возраста и инвалидами, нуждающимися в уходе, 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распоряжению.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рабочей группе</w:t>
        <w:br/>
        <w:t xml:space="preserve">по созданию системы долговременного ухода за гражданами пожилого возраста и инвалидами, нуждающимися в уходе, 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рабочей группе)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  <w:br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распоряжению.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Рабочей группе осуществлять свои функции в соответствии</w:t>
        <w:br/>
        <w:t xml:space="preserve">с Положением о рабочей группе.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</w:t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Р.Э. Гольдштейн</w:t>
      </w:r>
      <w:r/>
    </w:p>
    <w:p>
      <w:pPr>
        <w:ind w:firstLine="426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805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губернатора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_____________ 2023 г.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созданию системы 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долговременного ухода за гражданами пожилого возраста и инвалидами, нуждающимися в уходе, в Еврейской автономной области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Канделя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социальной защиты населения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рабочей группы;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Мильгром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Владимировна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начальника департамента здравоохранения правительства Еврейской автономной области – заместитель руководителя межведомственной рабочей группы;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Валерьевна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социальной помощи и развития учреждений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защиты населения правительства Еврейской автономной области – секретарь межведомственной рабочей группы.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межведомственной рабочей группы: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Алаторцева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Петровна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Федерального казенного учреждения – главного бюро медико-социальной экспертизы по Еврейской автономной области Министерства труда</w:t>
              <w:br/>
              <w:t xml:space="preserve">и социальной защиты Российской Федерации;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9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Березюк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Андреевна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№ 1 отделения Социального фонда России по Хабаровскому краю</w:t>
              <w:br/>
              <w:t xml:space="preserve">и Еврейской автономной области;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Еремеев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Игоревич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начальника департамента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оказания медицинской помощи и лекарственного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организации обязательного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Фонда обязательного медицинского страхования Еврейской автономной области;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Спичак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Викторовна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социальной помощи</w:t>
              <w:br/>
              <w:t xml:space="preserve">и развития учреждений социального обслуживания департамента социальной защиты населения правительства Еврейской автономной области.</w:t>
            </w:r>
            <w:r/>
          </w:p>
        </w:tc>
      </w:tr>
    </w:tbl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805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губернатора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_____________ 2023 г.</w:t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2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по созданию системы 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долговременного ухода за гражданами пожилого возраста и инвалидами, нуждающимися в уходе, в Еврейской автономной области</w:t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Межведомственная рабочая группа по созданию системы долговременного ухода за гражданами пожилого возраста и инвалидами, нуждающимися в уходе, 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группа, СДУ) сформирована в соответствии</w:t>
        <w:br/>
        <w:t xml:space="preserve">с подпунктом 1 пункта </w:t>
      </w:r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 Типовой модели системы долговременного ухода</w:t>
        <w:br/>
        <w:t xml:space="preserve">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15.12.2022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Рабочая группа создается в целях принятия согласованных решений, необходимых для создания СДУ 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области, актами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области,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области, а также настоящим Положением.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Основными задачами рабочей группы являются: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мониторинг выполнения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(«дорожной карты»)</w:t>
        <w:br/>
        <w:t xml:space="preserve">по созданию системы долговременного ухода за гражданами пожилог</w:t>
      </w:r>
      <w:r>
        <w:rPr>
          <w:rFonts w:ascii="Times New Roman" w:hAnsi="Times New Roman" w:cs="Times New Roman"/>
          <w:sz w:val="28"/>
          <w:szCs w:val="28"/>
        </w:rPr>
        <w:t xml:space="preserve">о возраста и инвалидами, нуждающимися в уходе, в соответствии с целями</w:t>
        <w:br/>
        <w:t xml:space="preserve">и задачами, предусмотренными Типовой моделью системы долговременного ухода за гражданами пожилого возраста и инвалидами, нуждающимися</w:t>
        <w:br/>
        <w:t xml:space="preserve">в уходе,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разработка предложений по организации работы по созданию СДУ</w:t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организация межведомственного взаимодействия участников СДУ при реализации Плана мероприятий;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обсуждение предложений руководителя и членов рабочей группы, относящихся к реализации Плана мероприятий;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иных задач, связанных с деятельностью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Руководитель рабочей группы осуществляет общее руководство деятельностью рабочей группы и утверждает планы ее заседаний.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отсутствие руководителя рабочей группы руководство деятельностью рабочей группы осуществляет заместитель руководителя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Секретарь рабочей группы: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организационно-техническое обеспечение деятельности рабочей группы;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готовит материалы к заседаниям рабочей группы;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уведомляет членов рабочей группы о дате, месте и времени проведения, повестке дня очередного заседания рабочей группы;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оформляет протоколы заседаний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Заседания рабочей группы проводятся ежеквартально.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Заседания рабочей группы проводятся по решению руководителя рабочей группы в очной или заочной формах. 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в очной форме считается правомочным, если на нем присутствует не менее половины от общего числа членов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</w:t>
      </w:r>
      <w:r>
        <w:rPr>
          <w:rFonts w:ascii="Times New Roman" w:hAnsi="Times New Roman" w:cs="Times New Roman"/>
          <w:sz w:val="28"/>
          <w:szCs w:val="28"/>
        </w:rPr>
        <w:t xml:space="preserve">. В случае проведения заседания рабочей группы в заочной форме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уведомляются об этом не позднее чем за 5 рабочих дней до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направленным в их адрес письмом,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почте или иным способом, позволяющим подтвердить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уведомления. Члены рабочей группы</w:t>
        <w:br/>
        <w:t xml:space="preserve">не позднее чем за 1 рабочий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 xml:space="preserve">до дня проведения заседания рабочей группы представляют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мнение по вопросам повестки дня заседания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в заочной форме считается состоявшимся</w:t>
        <w:br/>
        <w:t xml:space="preserve">в случае, если не менее половины членов рабочей группы представили</w:t>
        <w:br/>
        <w:t xml:space="preserve">в установленный срок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надлежащим образом в письменной форме мнение по вопросам повестки дня заседания рабочей группы, которое прилагается к протоколу заседания рабочей группы, составленному</w:t>
        <w:br/>
        <w:t xml:space="preserve">по результатам заседания рабочей группы, и является его неотъемлемой частью.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На заседании рабочей группы решение принимается простым большинством голосов от общего числа членов рабочей группы и оформляется протоколом. В случае равенства голосов решающим является голос председательствующего на заседании рабочей группы.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Протокол заседания 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 оформляется в течение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проведения заседания рабочей группы и подписывается секретарем рабочей группы и председательствующим на заседании рабочей группы. В протокол заседания рабочей группы заносятся краткое содержание рассматриваемых вопросов, принятое по ним решение.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 Копии протокола заседания рабочей группы рассылаются ее членам в течение 5 рабочих дней со дня подписания протокола заседания рабочей группы. Решения рабочей группы, принятые в пределах ее компетенции, обязательны для исполнения участниками СДУ.</w:t>
      </w:r>
      <w:r/>
    </w:p>
    <w:sectPr>
      <w:footnotePr/>
      <w:endnotePr/>
      <w:type w:val="nextPage"/>
      <w:pgSz w:w="11906" w:h="16838" w:orient="portrait"/>
      <w:pgMar w:top="1134" w:right="850" w:bottom="1134" w:left="1701" w:header="80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4304211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8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8"/>
    <w:link w:val="66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8"/>
    <w:link w:val="680"/>
    <w:uiPriority w:val="10"/>
    <w:rPr>
      <w:sz w:val="48"/>
      <w:szCs w:val="48"/>
    </w:rPr>
  </w:style>
  <w:style w:type="character" w:styleId="36">
    <w:name w:val="Subtitle Char"/>
    <w:basedOn w:val="668"/>
    <w:link w:val="682"/>
    <w:uiPriority w:val="11"/>
    <w:rPr>
      <w:sz w:val="24"/>
      <w:szCs w:val="24"/>
    </w:rPr>
  </w:style>
  <w:style w:type="character" w:styleId="38">
    <w:name w:val="Quote Char"/>
    <w:link w:val="684"/>
    <w:uiPriority w:val="29"/>
    <w:rPr>
      <w:i/>
    </w:rPr>
  </w:style>
  <w:style w:type="character" w:styleId="40">
    <w:name w:val="Intense Quote Char"/>
    <w:link w:val="686"/>
    <w:uiPriority w:val="30"/>
    <w:rPr>
      <w:i/>
    </w:rPr>
  </w:style>
  <w:style w:type="character" w:styleId="42">
    <w:name w:val="Header Char"/>
    <w:basedOn w:val="668"/>
    <w:link w:val="688"/>
    <w:uiPriority w:val="99"/>
  </w:style>
  <w:style w:type="character" w:styleId="46">
    <w:name w:val="Caption Char"/>
    <w:basedOn w:val="692"/>
    <w:link w:val="690"/>
    <w:uiPriority w:val="99"/>
  </w:style>
  <w:style w:type="character" w:styleId="175">
    <w:name w:val="Footnote Text Char"/>
    <w:link w:val="821"/>
    <w:uiPriority w:val="99"/>
    <w:rPr>
      <w:sz w:val="18"/>
    </w:rPr>
  </w:style>
  <w:style w:type="character" w:styleId="178">
    <w:name w:val="Endnote Text Char"/>
    <w:link w:val="824"/>
    <w:uiPriority w:val="99"/>
    <w:rPr>
      <w:sz w:val="20"/>
    </w:rPr>
  </w:style>
  <w:style w:type="paragraph" w:styleId="658" w:default="1">
    <w:name w:val="Normal"/>
    <w:qFormat/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7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7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7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7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73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658"/>
    <w:next w:val="658"/>
    <w:link w:val="681"/>
    <w:uiPriority w:val="10"/>
    <w:qFormat/>
    <w:pPr>
      <w:contextualSpacing/>
      <w:spacing w:before="300"/>
    </w:pPr>
    <w:rPr>
      <w:sz w:val="48"/>
      <w:szCs w:val="48"/>
    </w:rPr>
  </w:style>
  <w:style w:type="character" w:styleId="681" w:customStyle="1">
    <w:name w:val="Заголовок Знак"/>
    <w:link w:val="680"/>
    <w:uiPriority w:val="10"/>
    <w:rPr>
      <w:sz w:val="48"/>
      <w:szCs w:val="48"/>
    </w:rPr>
  </w:style>
  <w:style w:type="paragraph" w:styleId="682">
    <w:name w:val="Subtitle"/>
    <w:basedOn w:val="658"/>
    <w:next w:val="658"/>
    <w:link w:val="683"/>
    <w:uiPriority w:val="11"/>
    <w:qFormat/>
    <w:pPr>
      <w:spacing w:before="200"/>
    </w:pPr>
    <w:rPr>
      <w:sz w:val="24"/>
      <w:szCs w:val="24"/>
    </w:rPr>
  </w:style>
  <w:style w:type="character" w:styleId="683" w:customStyle="1">
    <w:name w:val="Подзаголовок Знак"/>
    <w:link w:val="682"/>
    <w:uiPriority w:val="11"/>
    <w:rPr>
      <w:sz w:val="24"/>
      <w:szCs w:val="24"/>
    </w:rPr>
  </w:style>
  <w:style w:type="paragraph" w:styleId="684">
    <w:name w:val="Quote"/>
    <w:basedOn w:val="658"/>
    <w:next w:val="658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8"/>
    <w:next w:val="658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5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link w:val="688"/>
    <w:uiPriority w:val="99"/>
  </w:style>
  <w:style w:type="paragraph" w:styleId="690">
    <w:name w:val="Footer"/>
    <w:basedOn w:val="65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uiPriority w:val="99"/>
  </w:style>
  <w:style w:type="paragraph" w:styleId="692">
    <w:name w:val="Caption"/>
    <w:basedOn w:val="658"/>
    <w:next w:val="65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3" w:customStyle="1">
    <w:name w:val="Нижний колонтитул Знак"/>
    <w:link w:val="690"/>
    <w:uiPriority w:val="99"/>
  </w:style>
  <w:style w:type="table" w:styleId="694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563c1" w:themeColor="hyperlink"/>
      <w:u w:val="single"/>
    </w:rPr>
  </w:style>
  <w:style w:type="paragraph" w:styleId="821">
    <w:name w:val="footnote text"/>
    <w:basedOn w:val="65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65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658"/>
    <w:next w:val="658"/>
    <w:uiPriority w:val="39"/>
    <w:unhideWhenUsed/>
    <w:pPr>
      <w:spacing w:after="57"/>
    </w:pPr>
  </w:style>
  <w:style w:type="paragraph" w:styleId="828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29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0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1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2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3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34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35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8"/>
    <w:next w:val="658"/>
    <w:uiPriority w:val="99"/>
    <w:unhideWhenUsed/>
    <w:pPr>
      <w:spacing w:after="0"/>
    </w:pPr>
  </w:style>
  <w:style w:type="paragraph" w:styleId="838">
    <w:name w:val="No Spacing"/>
    <w:basedOn w:val="658"/>
    <w:uiPriority w:val="1"/>
    <w:qFormat/>
    <w:pPr>
      <w:spacing w:after="0" w:line="240" w:lineRule="auto"/>
    </w:pPr>
  </w:style>
  <w:style w:type="paragraph" w:styleId="839">
    <w:name w:val="List Paragraph"/>
    <w:basedOn w:val="6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2023-08-01T23:37:00Z</dcterms:created>
  <dcterms:modified xsi:type="dcterms:W3CDTF">2023-08-02T05:30:21Z</dcterms:modified>
</cp:coreProperties>
</file>